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rPr>
          <w:rFonts w:ascii="Zilla Slab Light" w:cs="Zilla Slab Light" w:eastAsia="Zilla Slab Light" w:hAnsi="Zilla Slab Light"/>
          <w:b w:val="0"/>
          <w:sz w:val="44"/>
          <w:szCs w:val="44"/>
        </w:rPr>
      </w:pPr>
      <w:bookmarkStart w:colFirst="0" w:colLast="0" w:name="_k99kjoki1hc7" w:id="0"/>
      <w:bookmarkEnd w:id="0"/>
      <w:r w:rsidDel="00000000" w:rsidR="00000000" w:rsidRPr="00000000">
        <w:rPr>
          <w:rFonts w:ascii="Zilla Slab Light" w:cs="Zilla Slab Light" w:eastAsia="Zilla Slab Light" w:hAnsi="Zilla Slab Light"/>
          <w:b w:val="0"/>
          <w:sz w:val="44"/>
          <w:szCs w:val="44"/>
          <w:rtl w:val="0"/>
        </w:rPr>
        <w:t xml:space="preserve">The likelihood </w:t>
      </w:r>
      <w:r w:rsidDel="00000000" w:rsidR="00000000" w:rsidRPr="00000000">
        <w:rPr>
          <w:rFonts w:ascii="Zilla Slab Light" w:cs="Zilla Slab Light" w:eastAsia="Zilla Slab Light" w:hAnsi="Zilla Slab Light"/>
          <w:b w:val="0"/>
          <w:sz w:val="44"/>
          <w:szCs w:val="44"/>
          <w:rtl w:val="0"/>
        </w:rPr>
        <w:t xml:space="preserve">of the Taiwan Semiconductor Manufacturing Company (TSMC) announcing plans to build a semiconductor fab in Europe in 2022 has fallen by 23% over the last mont</w:t>
      </w:r>
      <w:r w:rsidDel="00000000" w:rsidR="00000000" w:rsidRPr="00000000">
        <w:rPr>
          <w:rFonts w:ascii="Zilla Slab Light" w:cs="Zilla Slab Light" w:eastAsia="Zilla Slab Light" w:hAnsi="Zilla Slab Light"/>
          <w:b w:val="0"/>
          <w:sz w:val="44"/>
          <w:szCs w:val="44"/>
          <w:rtl w:val="0"/>
        </w:rPr>
        <w:t xml:space="preserve">h. </w:t>
      </w:r>
      <w:r w:rsidDel="00000000" w:rsidR="00000000" w:rsidRPr="00000000">
        <w:rPr>
          <w:rtl w:val="0"/>
        </w:rPr>
      </w:r>
    </w:p>
    <w:p w:rsidR="00000000" w:rsidDel="00000000" w:rsidP="00000000" w:rsidRDefault="00000000" w:rsidRPr="00000000" w14:paraId="00000002">
      <w:pPr>
        <w:pStyle w:val="Title"/>
        <w:rPr>
          <w:rFonts w:ascii="Proxima Nova" w:cs="Proxima Nova" w:eastAsia="Proxima Nova" w:hAnsi="Proxima Nova"/>
          <w:b w:val="0"/>
          <w:sz w:val="22"/>
          <w:szCs w:val="22"/>
        </w:rPr>
      </w:pPr>
      <w:bookmarkStart w:colFirst="0" w:colLast="0" w:name="_e2kvasxi857b" w:id="1"/>
      <w:bookmarkEnd w:id="1"/>
      <w:r w:rsidDel="00000000" w:rsidR="00000000" w:rsidRPr="00000000">
        <w:rPr>
          <w:rFonts w:ascii="Proxima Nova" w:cs="Proxima Nova" w:eastAsia="Proxima Nova" w:hAnsi="Proxima Nova"/>
          <w:b w:val="0"/>
          <w:sz w:val="22"/>
          <w:szCs w:val="22"/>
          <w:highlight w:val="white"/>
          <w:rtl w:val="0"/>
        </w:rPr>
        <w:t xml:space="preserve">Ongoing innovation in artificial intelligence, natural language processing, and other technologies are often </w:t>
      </w:r>
      <w:r w:rsidDel="00000000" w:rsidR="00000000" w:rsidRPr="00000000">
        <w:rPr>
          <w:rFonts w:ascii="Proxima Nova" w:cs="Proxima Nova" w:eastAsia="Proxima Nova" w:hAnsi="Proxima Nova"/>
          <w:b w:val="0"/>
          <w:sz w:val="22"/>
          <w:szCs w:val="22"/>
          <w:highlight w:val="white"/>
          <w:rtl w:val="0"/>
        </w:rPr>
        <w:t xml:space="preserve">dependent</w:t>
      </w:r>
      <w:r w:rsidDel="00000000" w:rsidR="00000000" w:rsidRPr="00000000">
        <w:rPr>
          <w:rFonts w:ascii="Proxima Nova" w:cs="Proxima Nova" w:eastAsia="Proxima Nova" w:hAnsi="Proxima Nova"/>
          <w:b w:val="0"/>
          <w:sz w:val="22"/>
          <w:szCs w:val="22"/>
          <w:highlight w:val="white"/>
          <w:rtl w:val="0"/>
        </w:rPr>
        <w:t xml:space="preserve"> on advances in semiconductor capabilities. The concentration of “fabs,” or fabrication facilities, also known as foundries, </w:t>
      </w:r>
      <w:r w:rsidDel="00000000" w:rsidR="00000000" w:rsidRPr="00000000">
        <w:rPr>
          <w:rFonts w:ascii="Proxima Nova" w:cs="Proxima Nova" w:eastAsia="Proxima Nova" w:hAnsi="Proxima Nova"/>
          <w:b w:val="0"/>
          <w:sz w:val="22"/>
          <w:szCs w:val="22"/>
          <w:highlight w:val="white"/>
          <w:rtl w:val="0"/>
        </w:rPr>
        <w:t xml:space="preserve">in</w:t>
      </w:r>
      <w:r w:rsidDel="00000000" w:rsidR="00000000" w:rsidRPr="00000000">
        <w:rPr>
          <w:rFonts w:ascii="Proxima Nova" w:cs="Proxima Nova" w:eastAsia="Proxima Nova" w:hAnsi="Proxima Nova"/>
          <w:b w:val="0"/>
          <w:sz w:val="22"/>
          <w:szCs w:val="22"/>
          <w:highlight w:val="white"/>
          <w:rtl w:val="0"/>
        </w:rPr>
        <w:t xml:space="preserve"> Taiwan</w:t>
      </w:r>
      <w:r w:rsidDel="00000000" w:rsidR="00000000" w:rsidRPr="00000000">
        <w:rPr>
          <w:rFonts w:ascii="Proxima Nova" w:cs="Proxima Nova" w:eastAsia="Proxima Nova" w:hAnsi="Proxima Nova"/>
          <w:b w:val="0"/>
          <w:sz w:val="22"/>
          <w:szCs w:val="22"/>
          <w:highlight w:val="white"/>
          <w:rtl w:val="0"/>
        </w:rPr>
        <w:t xml:space="preserve"> has led to concern about supply chain vulnerabilities that could disrupt multiple industries (</w:t>
      </w:r>
      <w:hyperlink r:id="rId6">
        <w:r w:rsidDel="00000000" w:rsidR="00000000" w:rsidRPr="00000000">
          <w:rPr>
            <w:rFonts w:ascii="Proxima Nova" w:cs="Proxima Nova" w:eastAsia="Proxima Nova" w:hAnsi="Proxima Nova"/>
            <w:b w:val="0"/>
            <w:color w:val="3663b6"/>
            <w:sz w:val="22"/>
            <w:szCs w:val="22"/>
            <w:highlight w:val="white"/>
            <w:rtl w:val="0"/>
          </w:rPr>
          <w:t xml:space="preserve">National Defense</w:t>
        </w:r>
      </w:hyperlink>
      <w:r w:rsidDel="00000000" w:rsidR="00000000" w:rsidRPr="00000000">
        <w:rPr>
          <w:rFonts w:ascii="Proxima Nova" w:cs="Proxima Nova" w:eastAsia="Proxima Nova" w:hAnsi="Proxima Nova"/>
          <w:b w:val="0"/>
          <w:sz w:val="22"/>
          <w:szCs w:val="22"/>
          <w:highlight w:val="white"/>
          <w:rtl w:val="0"/>
        </w:rPr>
        <w:t xml:space="preserve">, </w:t>
      </w:r>
      <w:hyperlink r:id="rId7">
        <w:r w:rsidDel="00000000" w:rsidR="00000000" w:rsidRPr="00000000">
          <w:rPr>
            <w:rFonts w:ascii="Proxima Nova" w:cs="Proxima Nova" w:eastAsia="Proxima Nova" w:hAnsi="Proxima Nova"/>
            <w:b w:val="0"/>
            <w:color w:val="3663b6"/>
            <w:sz w:val="22"/>
            <w:szCs w:val="22"/>
            <w:highlight w:val="white"/>
            <w:rtl w:val="0"/>
          </w:rPr>
          <w:t xml:space="preserve">Discourse Magazine</w:t>
        </w:r>
      </w:hyperlink>
      <w:r w:rsidDel="00000000" w:rsidR="00000000" w:rsidRPr="00000000">
        <w:rPr>
          <w:rFonts w:ascii="Proxima Nova" w:cs="Proxima Nova" w:eastAsia="Proxima Nova" w:hAnsi="Proxima Nova"/>
          <w:b w:val="0"/>
          <w:sz w:val="22"/>
          <w:szCs w:val="22"/>
          <w:highlight w:val="white"/>
          <w:rtl w:val="0"/>
        </w:rPr>
        <w:t xml:space="preserve">.</w:t>
      </w:r>
      <w:r w:rsidDel="00000000" w:rsidR="00000000" w:rsidRPr="00000000">
        <w:rPr>
          <w:rFonts w:ascii="Proxima Nova" w:cs="Proxima Nova" w:eastAsia="Proxima Nova" w:hAnsi="Proxima Nova"/>
          <w:b w:val="0"/>
          <w:sz w:val="22"/>
          <w:szCs w:val="22"/>
          <w:highlight w:val="white"/>
          <w:rtl w:val="0"/>
        </w:rPr>
        <w:t xml:space="preserve">) TSMC is a leading semiconductor manufacturer. The development of a fab outside Taiwan would be a significant mitigation to the concentration risk.</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sz w:val="24"/>
          <w:szCs w:val="24"/>
        </w:rPr>
      </w:pPr>
      <w:bookmarkStart w:colFirst="0" w:colLast="0" w:name="_s5qxymcrq0ou" w:id="2"/>
      <w:bookmarkEnd w:id="2"/>
      <w:r w:rsidDel="00000000" w:rsidR="00000000" w:rsidRPr="00000000">
        <w:rPr>
          <w:rFonts w:ascii="Proxima Nova" w:cs="Proxima Nova" w:eastAsia="Proxima Nova" w:hAnsi="Proxima Nova"/>
          <w:b w:val="1"/>
          <w:sz w:val="24"/>
          <w:szCs w:val="24"/>
          <w:rtl w:val="0"/>
        </w:rPr>
        <w:t xml:space="preserve">INFER Forecast Question:</w:t>
      </w:r>
      <w:r w:rsidDel="00000000" w:rsidR="00000000" w:rsidRPr="00000000">
        <w:rPr>
          <w:rFonts w:ascii="Zilla Slab" w:cs="Zilla Slab" w:eastAsia="Zilla Slab" w:hAnsi="Zilla Slab"/>
          <w:b w:val="1"/>
          <w:sz w:val="24"/>
          <w:szCs w:val="24"/>
          <w:rtl w:val="0"/>
        </w:rPr>
        <w:t xml:space="preserve"> </w:t>
      </w:r>
      <w:r w:rsidDel="00000000" w:rsidR="00000000" w:rsidRPr="00000000">
        <w:rPr>
          <w:sz w:val="24"/>
          <w:szCs w:val="24"/>
          <w:highlight w:val="white"/>
          <w:rtl w:val="0"/>
        </w:rPr>
        <w:t xml:space="preserve">By 31 December 2022, will the Taiwan Semiconductor Manufacturing Company announce plans to build a semiconductor fab in Europe?</w:t>
      </w:r>
      <w:r w:rsidDel="00000000" w:rsidR="00000000" w:rsidRPr="00000000">
        <w:rPr>
          <w:rtl w:val="0"/>
        </w:rPr>
      </w:r>
    </w:p>
    <w:p w:rsidR="00000000" w:rsidDel="00000000" w:rsidP="00000000" w:rsidRDefault="00000000" w:rsidRPr="00000000" w14:paraId="00000005">
      <w:pPr>
        <w:spacing w:line="360" w:lineRule="auto"/>
        <w:rPr>
          <w:rFonts w:ascii="Proxima Nova" w:cs="Proxima Nova" w:eastAsia="Proxima Nova" w:hAnsi="Proxima Nova"/>
          <w:b w:val="1"/>
        </w:rPr>
      </w:pPr>
      <w:r w:rsidDel="00000000" w:rsidR="00000000" w:rsidRPr="00000000">
        <w:rPr>
          <w:rFonts w:ascii="Proxima Nova" w:cs="Proxima Nova" w:eastAsia="Proxima Nova" w:hAnsi="Proxima Nova"/>
          <w:sz w:val="18"/>
          <w:szCs w:val="18"/>
          <w:rtl w:val="0"/>
        </w:rPr>
        <w:t xml:space="preserve">Based on 272 forecasts by 73 forecasters:</w:t>
      </w:r>
      <w:r w:rsidDel="00000000" w:rsidR="00000000" w:rsidRPr="00000000">
        <w:rPr>
          <w:rtl w:val="0"/>
        </w:rPr>
      </w:r>
    </w:p>
    <w:tbl>
      <w:tblPr>
        <w:tblStyle w:val="Table1"/>
        <w:tblW w:w="9540.0"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08.571428571429"/>
        <w:gridCol w:w="1665.7142857142858"/>
        <w:gridCol w:w="1665.7142857142858"/>
        <w:tblGridChange w:id="0">
          <w:tblGrid>
            <w:gridCol w:w="6208.571428571429"/>
            <w:gridCol w:w="1665.7142857142858"/>
            <w:gridCol w:w="1665.7142857142858"/>
          </w:tblGrid>
        </w:tblGridChange>
      </w:tblGrid>
      <w:tr>
        <w:trPr>
          <w:cantSplit w:val="0"/>
          <w:tblHeader w:val="0"/>
        </w:trPr>
        <w:tc>
          <w:tcPr>
            <w:shd w:fill="3663b6" w:val="clear"/>
            <w:tcMar>
              <w:top w:w="43.2" w:type="dxa"/>
              <w:left w:w="43.2" w:type="dxa"/>
              <w:bottom w:w="43.2" w:type="dxa"/>
              <w:right w:w="43.2" w:type="dxa"/>
            </w:tcMar>
            <w:vAlign w:val="top"/>
          </w:tcPr>
          <w:p w:rsidR="00000000" w:rsidDel="00000000" w:rsidP="00000000" w:rsidRDefault="00000000" w:rsidRPr="00000000" w14:paraId="00000006">
            <w:pPr>
              <w:widowControl w:val="0"/>
              <w:rPr>
                <w:rFonts w:ascii="Proxima Nova" w:cs="Proxima Nova" w:eastAsia="Proxima Nova" w:hAnsi="Proxima Nova"/>
                <w:b w:val="1"/>
                <w:color w:val="ffffff"/>
                <w:sz w:val="18"/>
                <w:szCs w:val="18"/>
              </w:rPr>
            </w:pPr>
            <w:r w:rsidDel="00000000" w:rsidR="00000000" w:rsidRPr="00000000">
              <w:rPr>
                <w:rFonts w:ascii="Proxima Nova" w:cs="Proxima Nova" w:eastAsia="Proxima Nova" w:hAnsi="Proxima Nova"/>
                <w:b w:val="1"/>
                <w:color w:val="ffffff"/>
                <w:sz w:val="18"/>
                <w:szCs w:val="18"/>
                <w:rtl w:val="0"/>
              </w:rPr>
              <w:t xml:space="preserve">Possible Answer</w:t>
            </w:r>
          </w:p>
        </w:tc>
        <w:tc>
          <w:tcPr>
            <w:shd w:fill="3663b6" w:val="clear"/>
            <w:tcMar>
              <w:top w:w="43.2" w:type="dxa"/>
              <w:left w:w="43.2" w:type="dxa"/>
              <w:bottom w:w="43.2" w:type="dxa"/>
              <w:right w:w="43.2" w:type="dxa"/>
            </w:tcMar>
            <w:vAlign w:val="top"/>
          </w:tcPr>
          <w:p w:rsidR="00000000" w:rsidDel="00000000" w:rsidP="00000000" w:rsidRDefault="00000000" w:rsidRPr="00000000" w14:paraId="00000007">
            <w:pPr>
              <w:widowControl w:val="0"/>
              <w:rPr>
                <w:rFonts w:ascii="Proxima Nova" w:cs="Proxima Nova" w:eastAsia="Proxima Nova" w:hAnsi="Proxima Nova"/>
                <w:b w:val="1"/>
                <w:color w:val="ffffff"/>
                <w:sz w:val="18"/>
                <w:szCs w:val="18"/>
              </w:rPr>
            </w:pPr>
            <w:r w:rsidDel="00000000" w:rsidR="00000000" w:rsidRPr="00000000">
              <w:rPr>
                <w:rFonts w:ascii="Proxima Nova" w:cs="Proxima Nova" w:eastAsia="Proxima Nova" w:hAnsi="Proxima Nova"/>
                <w:b w:val="1"/>
                <w:color w:val="ffffff"/>
                <w:sz w:val="18"/>
                <w:szCs w:val="18"/>
                <w:rtl w:val="0"/>
              </w:rPr>
              <w:t xml:space="preserve">INFER % Chance</w:t>
            </w:r>
          </w:p>
          <w:p w:rsidR="00000000" w:rsidDel="00000000" w:rsidP="00000000" w:rsidRDefault="00000000" w:rsidRPr="00000000" w14:paraId="00000008">
            <w:pPr>
              <w:widowControl w:val="0"/>
              <w:rPr>
                <w:rFonts w:ascii="Proxima Nova" w:cs="Proxima Nova" w:eastAsia="Proxima Nova" w:hAnsi="Proxima Nova"/>
                <w:b w:val="1"/>
                <w:color w:val="ffffff"/>
                <w:sz w:val="18"/>
                <w:szCs w:val="18"/>
              </w:rPr>
            </w:pPr>
            <w:r w:rsidDel="00000000" w:rsidR="00000000" w:rsidRPr="00000000">
              <w:rPr>
                <w:rFonts w:ascii="Proxima Nova" w:cs="Proxima Nova" w:eastAsia="Proxima Nova" w:hAnsi="Proxima Nova"/>
                <w:b w:val="1"/>
                <w:color w:val="ffffff"/>
                <w:sz w:val="18"/>
                <w:szCs w:val="18"/>
                <w:rtl w:val="0"/>
              </w:rPr>
              <w:t xml:space="preserve">15 June 2022</w:t>
            </w:r>
          </w:p>
        </w:tc>
        <w:tc>
          <w:tcPr>
            <w:shd w:fill="3663b6" w:val="clear"/>
            <w:tcMar>
              <w:top w:w="43.2" w:type="dxa"/>
              <w:left w:w="43.2" w:type="dxa"/>
              <w:bottom w:w="43.2" w:type="dxa"/>
              <w:right w:w="43.2" w:type="dxa"/>
            </w:tcMar>
            <w:vAlign w:val="top"/>
          </w:tcPr>
          <w:p w:rsidR="00000000" w:rsidDel="00000000" w:rsidP="00000000" w:rsidRDefault="00000000" w:rsidRPr="00000000" w14:paraId="00000009">
            <w:pPr>
              <w:widowControl w:val="0"/>
              <w:rPr>
                <w:rFonts w:ascii="Proxima Nova" w:cs="Proxima Nova" w:eastAsia="Proxima Nova" w:hAnsi="Proxima Nova"/>
                <w:b w:val="1"/>
                <w:color w:val="ffffff"/>
                <w:sz w:val="18"/>
                <w:szCs w:val="18"/>
              </w:rPr>
            </w:pPr>
            <w:r w:rsidDel="00000000" w:rsidR="00000000" w:rsidRPr="00000000">
              <w:rPr>
                <w:rFonts w:ascii="Proxima Nova" w:cs="Proxima Nova" w:eastAsia="Proxima Nova" w:hAnsi="Proxima Nova"/>
                <w:b w:val="1"/>
                <w:color w:val="ffffff"/>
                <w:sz w:val="18"/>
                <w:szCs w:val="18"/>
                <w:rtl w:val="0"/>
              </w:rPr>
              <w:t xml:space="preserve">INFER % Chance 14 July 2022</w:t>
            </w:r>
          </w:p>
        </w:tc>
      </w:tr>
      <w:tr>
        <w:trPr>
          <w:cantSplit w:val="0"/>
          <w:tblHeader w:val="0"/>
        </w:trPr>
        <w:tc>
          <w:tcPr>
            <w:tcMar>
              <w:top w:w="43.2" w:type="dxa"/>
              <w:left w:w="43.2" w:type="dxa"/>
              <w:bottom w:w="43.2" w:type="dxa"/>
              <w:right w:w="43.2" w:type="dxa"/>
            </w:tcMar>
            <w:vAlign w:val="top"/>
          </w:tcPr>
          <w:p w:rsidR="00000000" w:rsidDel="00000000" w:rsidP="00000000" w:rsidRDefault="00000000" w:rsidRPr="00000000" w14:paraId="0000000A">
            <w:pPr>
              <w:widowControl w:val="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Yes</w:t>
            </w:r>
          </w:p>
        </w:tc>
        <w:tc>
          <w:tcPr>
            <w:tcMar>
              <w:top w:w="43.2" w:type="dxa"/>
              <w:left w:w="43.2" w:type="dxa"/>
              <w:bottom w:w="43.2" w:type="dxa"/>
              <w:right w:w="43.2" w:type="dxa"/>
            </w:tcMar>
            <w:vAlign w:val="top"/>
          </w:tcPr>
          <w:p w:rsidR="00000000" w:rsidDel="00000000" w:rsidP="00000000" w:rsidRDefault="00000000" w:rsidRPr="00000000" w14:paraId="0000000B">
            <w:pPr>
              <w:widowControl w:val="0"/>
              <w:jc w:val="righ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51%</w:t>
            </w:r>
          </w:p>
        </w:tc>
        <w:tc>
          <w:tcPr>
            <w:tcMar>
              <w:top w:w="43.2" w:type="dxa"/>
              <w:left w:w="43.2" w:type="dxa"/>
              <w:bottom w:w="43.2" w:type="dxa"/>
              <w:right w:w="43.2" w:type="dxa"/>
            </w:tcMar>
            <w:vAlign w:val="top"/>
          </w:tcPr>
          <w:p w:rsidR="00000000" w:rsidDel="00000000" w:rsidP="00000000" w:rsidRDefault="00000000" w:rsidRPr="00000000" w14:paraId="0000000C">
            <w:pPr>
              <w:widowControl w:val="0"/>
              <w:jc w:val="righ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28% (-23%)</w:t>
            </w:r>
          </w:p>
        </w:tc>
      </w:tr>
      <w:tr>
        <w:trPr>
          <w:cantSplit w:val="0"/>
          <w:tblHeader w:val="0"/>
        </w:trPr>
        <w:tc>
          <w:tcPr>
            <w:shd w:fill="ede1d2" w:val="clear"/>
            <w:tcMar>
              <w:top w:w="43.2" w:type="dxa"/>
              <w:left w:w="43.2" w:type="dxa"/>
              <w:bottom w:w="43.2" w:type="dxa"/>
              <w:right w:w="43.2" w:type="dxa"/>
            </w:tcMar>
            <w:vAlign w:val="top"/>
          </w:tcPr>
          <w:p w:rsidR="00000000" w:rsidDel="00000000" w:rsidP="00000000" w:rsidRDefault="00000000" w:rsidRPr="00000000" w14:paraId="0000000D">
            <w:pPr>
              <w:widowControl w:val="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No</w:t>
            </w:r>
          </w:p>
        </w:tc>
        <w:tc>
          <w:tcPr>
            <w:shd w:fill="ede1d2" w:val="clear"/>
            <w:tcMar>
              <w:top w:w="43.2" w:type="dxa"/>
              <w:left w:w="43.2" w:type="dxa"/>
              <w:bottom w:w="43.2" w:type="dxa"/>
              <w:right w:w="43.2" w:type="dxa"/>
            </w:tcMar>
            <w:vAlign w:val="top"/>
          </w:tcPr>
          <w:p w:rsidR="00000000" w:rsidDel="00000000" w:rsidP="00000000" w:rsidRDefault="00000000" w:rsidRPr="00000000" w14:paraId="0000000E">
            <w:pPr>
              <w:widowControl w:val="0"/>
              <w:jc w:val="righ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49%</w:t>
            </w:r>
          </w:p>
        </w:tc>
        <w:tc>
          <w:tcPr>
            <w:shd w:fill="ede1d2" w:val="clear"/>
            <w:tcMar>
              <w:top w:w="43.2" w:type="dxa"/>
              <w:left w:w="43.2" w:type="dxa"/>
              <w:bottom w:w="43.2" w:type="dxa"/>
              <w:right w:w="43.2" w:type="dxa"/>
            </w:tcMar>
            <w:vAlign w:val="top"/>
          </w:tcPr>
          <w:p w:rsidR="00000000" w:rsidDel="00000000" w:rsidP="00000000" w:rsidRDefault="00000000" w:rsidRPr="00000000" w14:paraId="0000000F">
            <w:pPr>
              <w:widowControl w:val="0"/>
              <w:jc w:val="right"/>
              <w:rPr>
                <w:rFonts w:ascii="Proxima Nova" w:cs="Proxima Nova" w:eastAsia="Proxima Nova" w:hAnsi="Proxima Nova"/>
                <w:sz w:val="18"/>
                <w:szCs w:val="18"/>
              </w:rPr>
            </w:pPr>
            <w:r w:rsidDel="00000000" w:rsidR="00000000" w:rsidRPr="00000000">
              <w:rPr>
                <w:rFonts w:ascii="Proxima Nova" w:cs="Proxima Nova" w:eastAsia="Proxima Nova" w:hAnsi="Proxima Nova"/>
                <w:color w:val="ff0000"/>
                <w:sz w:val="18"/>
                <w:szCs w:val="18"/>
                <w:rtl w:val="0"/>
              </w:rPr>
              <w:t xml:space="preserve">              </w:t>
            </w:r>
            <w:r w:rsidDel="00000000" w:rsidR="00000000" w:rsidRPr="00000000">
              <w:rPr>
                <w:rFonts w:ascii="Proxima Nova" w:cs="Proxima Nova" w:eastAsia="Proxima Nova" w:hAnsi="Proxima Nova"/>
                <w:sz w:val="18"/>
                <w:szCs w:val="18"/>
                <w:rtl w:val="0"/>
              </w:rPr>
              <w:t xml:space="preserve">72% (+23%)</w:t>
            </w:r>
          </w:p>
        </w:tc>
      </w:tr>
    </w:tbl>
    <w:p w:rsidR="00000000" w:rsidDel="00000000" w:rsidP="00000000" w:rsidRDefault="00000000" w:rsidRPr="00000000" w14:paraId="00000010">
      <w:pPr>
        <w:pStyle w:val="Heading2"/>
        <w:jc w:val="left"/>
        <w:rPr>
          <w:rFonts w:ascii="Proxima Nova" w:cs="Proxima Nova" w:eastAsia="Proxima Nova" w:hAnsi="Proxima Nova"/>
          <w:sz w:val="18"/>
          <w:szCs w:val="18"/>
        </w:rPr>
      </w:pPr>
      <w:bookmarkStart w:colFirst="0" w:colLast="0" w:name="_7q76jitmlusv" w:id="3"/>
      <w:bookmarkEnd w:id="3"/>
      <w:r w:rsidDel="00000000" w:rsidR="00000000" w:rsidRPr="00000000">
        <w:rPr>
          <w:rtl w:val="0"/>
        </w:rPr>
        <w:t xml:space="preserve">Why </w:t>
      </w:r>
      <w:r w:rsidDel="00000000" w:rsidR="00000000" w:rsidRPr="00000000">
        <w:rPr>
          <w:rtl w:val="0"/>
        </w:rPr>
        <w:t xml:space="preserve">was this “heads up” issued</w:t>
      </w:r>
      <w:r w:rsidDel="00000000" w:rsidR="00000000" w:rsidRPr="00000000">
        <w:rPr>
          <w:rtl w:val="0"/>
        </w:rPr>
        <w:t xml:space="preserve">? </w:t>
        <w:br w:type="textWrapping"/>
      </w:r>
      <w:r w:rsidDel="00000000" w:rsidR="00000000" w:rsidRPr="00000000">
        <w:rPr>
          <w:rFonts w:ascii="Proxima Nova" w:cs="Proxima Nova" w:eastAsia="Proxima Nova" w:hAnsi="Proxima Nova"/>
          <w:sz w:val="18"/>
          <w:szCs w:val="18"/>
          <w:rtl w:val="0"/>
        </w:rPr>
        <w:t xml:space="preserve">Here are comments from forecasters who have recently updated their forecast assessments:</w:t>
      </w:r>
      <w:r w:rsidDel="00000000" w:rsidR="00000000" w:rsidRPr="00000000">
        <w:rPr>
          <w:rFonts w:ascii="Proxima Nova" w:cs="Proxima Nova" w:eastAsia="Proxima Nova" w:hAnsi="Proxima Nova"/>
          <w:sz w:val="18"/>
          <w:szCs w:val="18"/>
          <w:rtl w:val="0"/>
        </w:rPr>
        <w:t xml:space="preserve"> </w:t>
      </w:r>
      <w:r w:rsidDel="00000000" w:rsidR="00000000" w:rsidRPr="00000000">
        <w:rPr>
          <w:rFonts w:ascii="Proxima Nova" w:cs="Proxima Nova" w:eastAsia="Proxima Nova" w:hAnsi="Proxima Nova"/>
          <w:sz w:val="14"/>
          <w:szCs w:val="14"/>
          <w:rtl w:val="0"/>
        </w:rPr>
        <w:t xml:space="preserve">(</w:t>
      </w:r>
      <w:hyperlink r:id="rId8">
        <w:r w:rsidDel="00000000" w:rsidR="00000000" w:rsidRPr="00000000">
          <w:rPr>
            <w:rFonts w:ascii="Proxima Nova" w:cs="Proxima Nova" w:eastAsia="Proxima Nova" w:hAnsi="Proxima Nova"/>
            <w:color w:val="1155cc"/>
            <w:sz w:val="14"/>
            <w:szCs w:val="14"/>
            <w:u w:val="single"/>
            <w:rtl w:val="0"/>
          </w:rPr>
          <w:t xml:space="preserve">See Latest Forecasts and Rationales</w:t>
        </w:r>
      </w:hyperlink>
      <w:r w:rsidDel="00000000" w:rsidR="00000000" w:rsidRPr="00000000">
        <w:rPr>
          <w:rFonts w:ascii="Proxima Nova" w:cs="Proxima Nova" w:eastAsia="Proxima Nova" w:hAnsi="Proxima Nova"/>
          <w:sz w:val="14"/>
          <w:szCs w:val="14"/>
          <w:rtl w:val="0"/>
        </w:rPr>
        <w:t xml:space="preserve">)</w:t>
      </w:r>
      <w:r w:rsidDel="00000000" w:rsidR="00000000" w:rsidRPr="00000000">
        <w:rPr>
          <w:rtl w:val="0"/>
        </w:rPr>
      </w:r>
    </w:p>
    <w:tbl>
      <w:tblPr>
        <w:tblStyle w:val="Table2"/>
        <w:tblW w:w="9540.0" w:type="dxa"/>
        <w:jc w:val="left"/>
        <w:tblInd w:w="28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3180"/>
        <w:gridCol w:w="3180"/>
        <w:tblGridChange w:id="0">
          <w:tblGrid>
            <w:gridCol w:w="3180"/>
            <w:gridCol w:w="3180"/>
            <w:gridCol w:w="3180"/>
          </w:tblGrid>
        </w:tblGridChange>
      </w:tblGrid>
      <w:tr>
        <w:trPr>
          <w:cantSplit w:val="0"/>
          <w:trHeight w:val="1727.9999999999998" w:hRule="atLeast"/>
          <w:tblHeader w:val="0"/>
        </w:trPr>
        <w:tc>
          <w:tcPr>
            <w:tcBorders>
              <w:top w:color="ffffff" w:space="0" w:sz="24" w:val="single"/>
              <w:left w:color="ffffff" w:space="0" w:sz="24" w:val="single"/>
              <w:bottom w:color="ffffff" w:space="0" w:sz="24" w:val="single"/>
              <w:right w:color="ffffff" w:space="0" w:sz="24" w:val="single"/>
            </w:tcBorders>
            <w:shd w:fill="ede1d2" w:val="clear"/>
            <w:tcMar>
              <w:top w:w="288.0" w:type="dxa"/>
              <w:left w:w="288.0" w:type="dxa"/>
              <w:bottom w:w="288.0" w:type="dxa"/>
              <w:right w:w="288.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I think EU and TSMC is just not the best fit. Also, the European Chips Act might now be delayed because of the lack of agreement about the details within the EU, and TSMC might want to wait to announce anything until they know the details.”</w:t>
              <w:br w:type="textWrapping"/>
              <w:br w:type="textWrapping"/>
            </w:r>
            <w:hyperlink r:id="rId9">
              <w:r w:rsidDel="00000000" w:rsidR="00000000" w:rsidRPr="00000000">
                <w:rPr>
                  <w:rFonts w:ascii="Proxima Nova" w:cs="Proxima Nova" w:eastAsia="Proxima Nova" w:hAnsi="Proxima Nova"/>
                  <w:color w:val="1155cc"/>
                  <w:sz w:val="18"/>
                  <w:szCs w:val="18"/>
                  <w:u w:val="single"/>
                  <w:rtl w:val="0"/>
                </w:rPr>
                <w:t xml:space="preserve">Michal_dubrawski</w:t>
              </w:r>
            </w:hyperlink>
            <w:r w:rsidDel="00000000" w:rsidR="00000000" w:rsidRPr="00000000">
              <w:rPr>
                <w:rFonts w:ascii="Proxima Nova" w:cs="Proxima Nova" w:eastAsia="Proxima Nova" w:hAnsi="Proxima Nova"/>
                <w:sz w:val="18"/>
                <w:szCs w:val="18"/>
                <w:rtl w:val="0"/>
              </w:rPr>
              <w:br w:type="textWrapping"/>
            </w:r>
            <w:r w:rsidDel="00000000" w:rsidR="00000000" w:rsidRPr="00000000">
              <w:rPr>
                <w:rFonts w:ascii="Proxima Nova" w:cs="Proxima Nova" w:eastAsia="Proxima Nova" w:hAnsi="Proxima Nova"/>
                <w:color w:val="999999"/>
                <w:sz w:val="18"/>
                <w:szCs w:val="18"/>
                <w:rtl w:val="0"/>
              </w:rPr>
              <w:t xml:space="preserve">July 10, 2022, 9:49am ET</w:t>
            </w:r>
            <w:r w:rsidDel="00000000" w:rsidR="00000000" w:rsidRPr="00000000">
              <w:rPr>
                <w:rtl w:val="0"/>
              </w:rPr>
            </w:r>
          </w:p>
        </w:tc>
        <w:tc>
          <w:tcPr>
            <w:tcBorders>
              <w:top w:color="ffffff" w:space="0" w:sz="24" w:val="single"/>
              <w:left w:color="ffffff" w:space="0" w:sz="24" w:val="single"/>
              <w:bottom w:color="ffffff" w:space="0" w:sz="24" w:val="single"/>
              <w:right w:color="ffffff" w:space="0" w:sz="24" w:val="single"/>
            </w:tcBorders>
            <w:shd w:fill="ede1d2" w:val="clear"/>
            <w:tcMar>
              <w:top w:w="288.0" w:type="dxa"/>
              <w:left w:w="288.0" w:type="dxa"/>
              <w:bottom w:w="288.0" w:type="dxa"/>
              <w:right w:w="288.0" w:type="dxa"/>
            </w:tcMar>
            <w:vAlign w:val="top"/>
          </w:tcPr>
          <w:p w:rsidR="00000000" w:rsidDel="00000000" w:rsidP="00000000" w:rsidRDefault="00000000" w:rsidRPr="00000000" w14:paraId="00000012">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“News from Bloomberg regarding TSMC building a plant in Phoenix, AZ suggests to me that also building a new one in Europe might be too much of a stretch, especially given the war in Europe–too many wild cards.”</w:t>
            </w:r>
          </w:p>
          <w:p w:rsidR="00000000" w:rsidDel="00000000" w:rsidP="00000000" w:rsidRDefault="00000000" w:rsidRPr="00000000" w14:paraId="00000013">
            <w:pPr>
              <w:widowControl w:val="0"/>
              <w:spacing w:line="240" w:lineRule="auto"/>
              <w:rPr>
                <w:rFonts w:ascii="Proxima Nova" w:cs="Proxima Nova" w:eastAsia="Proxima Nova" w:hAnsi="Proxima Nova"/>
                <w:color w:val="999999"/>
                <w:sz w:val="18"/>
                <w:szCs w:val="18"/>
              </w:rPr>
            </w:pPr>
            <w:r w:rsidDel="00000000" w:rsidR="00000000" w:rsidRPr="00000000">
              <w:rPr>
                <w:rFonts w:ascii="Proxima Nova" w:cs="Proxima Nova" w:eastAsia="Proxima Nova" w:hAnsi="Proxima Nova"/>
                <w:rtl w:val="0"/>
              </w:rPr>
              <w:br w:type="textWrapping"/>
            </w:r>
            <w:hyperlink r:id="rId10">
              <w:r w:rsidDel="00000000" w:rsidR="00000000" w:rsidRPr="00000000">
                <w:rPr>
                  <w:rFonts w:ascii="Proxima Nova" w:cs="Proxima Nova" w:eastAsia="Proxima Nova" w:hAnsi="Proxima Nova"/>
                  <w:color w:val="1155cc"/>
                  <w:sz w:val="20"/>
                  <w:szCs w:val="20"/>
                  <w:u w:val="single"/>
                  <w:rtl w:val="0"/>
                </w:rPr>
                <w:t xml:space="preserve">Cmeinel</w:t>
              </w:r>
            </w:hyperlink>
            <w:r w:rsidDel="00000000" w:rsidR="00000000" w:rsidRPr="00000000">
              <w:rPr>
                <w:rFonts w:ascii="Proxima Nova" w:cs="Proxima Nova" w:eastAsia="Proxima Nova" w:hAnsi="Proxima Nova"/>
                <w:rtl w:val="0"/>
              </w:rPr>
              <w:br w:type="textWrapping"/>
            </w:r>
            <w:r w:rsidDel="00000000" w:rsidR="00000000" w:rsidRPr="00000000">
              <w:rPr>
                <w:rFonts w:ascii="Proxima Nova" w:cs="Proxima Nova" w:eastAsia="Proxima Nova" w:hAnsi="Proxima Nova"/>
                <w:color w:val="999999"/>
                <w:sz w:val="18"/>
                <w:szCs w:val="18"/>
                <w:rtl w:val="0"/>
              </w:rPr>
              <w:t xml:space="preserve">July 7, 2022, 3:21pm ET</w:t>
            </w:r>
            <w:r w:rsidDel="00000000" w:rsidR="00000000" w:rsidRPr="00000000">
              <w:rPr>
                <w:rtl w:val="0"/>
              </w:rPr>
            </w:r>
          </w:p>
        </w:tc>
        <w:tc>
          <w:tcPr>
            <w:tcBorders>
              <w:top w:color="ffffff" w:space="0" w:sz="24" w:val="single"/>
              <w:left w:color="ffffff" w:space="0" w:sz="24" w:val="single"/>
              <w:bottom w:color="ffffff" w:space="0" w:sz="24" w:val="single"/>
              <w:right w:color="ffffff" w:space="0" w:sz="24" w:val="single"/>
            </w:tcBorders>
            <w:shd w:fill="ede1d2" w:val="clear"/>
            <w:tcMar>
              <w:top w:w="288.0" w:type="dxa"/>
              <w:left w:w="288.0" w:type="dxa"/>
              <w:bottom w:w="288.0" w:type="dxa"/>
              <w:right w:w="288.0" w:type="dxa"/>
            </w:tcMar>
            <w:vAlign w:val="top"/>
          </w:tcPr>
          <w:p w:rsidR="00000000" w:rsidDel="00000000" w:rsidP="00000000" w:rsidRDefault="00000000" w:rsidRPr="00000000" w14:paraId="00000014">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It appears that Intel is going to build a fab in Germany, which decreases the overall chances of TSMC building a fab in the EU. Plus, the recent news that the TSMC Chairman said there were no concrete plans to build a fab in Europe. </w:t>
            </w:r>
          </w:p>
          <w:p w:rsidR="00000000" w:rsidDel="00000000" w:rsidP="00000000" w:rsidRDefault="00000000" w:rsidRPr="00000000" w14:paraId="00000015">
            <w:pPr>
              <w:widowControl w:val="0"/>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Proxima Nova" w:cs="Proxima Nova" w:eastAsia="Proxima Nova" w:hAnsi="Proxima Nova"/>
              </w:rPr>
            </w:pPr>
            <w:hyperlink r:id="rId11">
              <w:r w:rsidDel="00000000" w:rsidR="00000000" w:rsidRPr="00000000">
                <w:rPr>
                  <w:rFonts w:ascii="Proxima Nova" w:cs="Proxima Nova" w:eastAsia="Proxima Nova" w:hAnsi="Proxima Nova"/>
                  <w:color w:val="1155cc"/>
                  <w:sz w:val="20"/>
                  <w:szCs w:val="20"/>
                  <w:u w:val="single"/>
                  <w:rtl w:val="0"/>
                </w:rPr>
                <w:t xml:space="preserve">MullenAustin</w:t>
              </w:r>
            </w:hyperlink>
            <w:r w:rsidDel="00000000" w:rsidR="00000000" w:rsidRPr="00000000">
              <w:rPr>
                <w:rtl w:val="0"/>
              </w:rPr>
            </w:r>
          </w:p>
          <w:p w:rsidR="00000000" w:rsidDel="00000000" w:rsidP="00000000" w:rsidRDefault="00000000" w:rsidRPr="00000000" w14:paraId="00000017">
            <w:pPr>
              <w:widowControl w:val="0"/>
              <w:spacing w:line="240" w:lineRule="auto"/>
              <w:rPr>
                <w:rFonts w:ascii="Proxima Nova" w:cs="Proxima Nova" w:eastAsia="Proxima Nova" w:hAnsi="Proxima Nova"/>
                <w:color w:val="999999"/>
                <w:sz w:val="18"/>
                <w:szCs w:val="18"/>
              </w:rPr>
            </w:pPr>
            <w:r w:rsidDel="00000000" w:rsidR="00000000" w:rsidRPr="00000000">
              <w:rPr>
                <w:rFonts w:ascii="Proxima Nova" w:cs="Proxima Nova" w:eastAsia="Proxima Nova" w:hAnsi="Proxima Nova"/>
                <w:color w:val="999999"/>
                <w:sz w:val="18"/>
                <w:szCs w:val="18"/>
                <w:rtl w:val="0"/>
              </w:rPr>
              <w:t xml:space="preserve">June 28, 2022, 12:49pm ET</w:t>
            </w:r>
            <w:r w:rsidDel="00000000" w:rsidR="00000000" w:rsidRPr="00000000">
              <w:rPr>
                <w:rtl w:val="0"/>
              </w:rPr>
            </w:r>
          </w:p>
        </w:tc>
      </w:tr>
    </w:tbl>
    <w:p w:rsidR="00000000" w:rsidDel="00000000" w:rsidP="00000000" w:rsidRDefault="00000000" w:rsidRPr="00000000" w14:paraId="00000018">
      <w:pPr>
        <w:pStyle w:val="Heading2"/>
        <w:rPr/>
      </w:pPr>
      <w:bookmarkStart w:colFirst="0" w:colLast="0" w:name="_u7ungxqb6usx" w:id="4"/>
      <w:bookmarkEnd w:id="4"/>
      <w:r w:rsidDel="00000000" w:rsidR="00000000" w:rsidRPr="00000000">
        <w:rPr>
          <w:rtl w:val="0"/>
        </w:rPr>
        <w:t xml:space="preserve">Consensus Trend</w:t>
      </w:r>
      <w:r w:rsidDel="00000000" w:rsidR="00000000" w:rsidRPr="00000000">
        <w:rPr>
          <w:rtl w:val="0"/>
        </w:rPr>
      </w:r>
    </w:p>
    <w:p w:rsidR="00000000" w:rsidDel="00000000" w:rsidP="00000000" w:rsidRDefault="00000000" w:rsidRPr="00000000" w14:paraId="00000019">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center"/>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6143625" cy="1947863"/>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143625" cy="1947863"/>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after="1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spacing w:after="1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spacing w:after="160" w:lineRule="auto"/>
        <w:rPr>
          <w:rFonts w:ascii="Proxima Nova" w:cs="Proxima Nova" w:eastAsia="Proxima Nova" w:hAnsi="Proxima Nova"/>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95251</wp:posOffset>
            </wp:positionH>
            <wp:positionV relativeFrom="paragraph">
              <wp:posOffset>314325</wp:posOffset>
            </wp:positionV>
            <wp:extent cx="2281238" cy="433809"/>
            <wp:effectExtent b="0" l="0" r="0" t="0"/>
            <wp:wrapNone/>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281238" cy="433809"/>
                    </a:xfrm>
                    <a:prstGeom prst="rect"/>
                    <a:ln/>
                  </pic:spPr>
                </pic:pic>
              </a:graphicData>
            </a:graphic>
          </wp:anchor>
        </w:drawing>
      </w:r>
    </w:p>
    <w:p w:rsidR="00000000" w:rsidDel="00000000" w:rsidP="00000000" w:rsidRDefault="00000000" w:rsidRPr="00000000" w14:paraId="0000001E">
      <w:pPr>
        <w:spacing w:after="1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spacing w:after="1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spacing w:after="1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spacing w:after="160" w:lineRule="auto"/>
        <w:rPr>
          <w:rFonts w:ascii="Proxima Nova" w:cs="Proxima Nova" w:eastAsia="Proxima Nova" w:hAnsi="Proxima Nova"/>
        </w:rPr>
      </w:pPr>
      <w:hyperlink r:id="rId14">
        <w:r w:rsidDel="00000000" w:rsidR="00000000" w:rsidRPr="00000000">
          <w:rPr>
            <w:rFonts w:ascii="Proxima Nova" w:cs="Proxima Nova" w:eastAsia="Proxima Nova" w:hAnsi="Proxima Nova"/>
            <w:color w:val="1155cc"/>
            <w:u w:val="single"/>
            <w:rtl w:val="0"/>
          </w:rPr>
          <w:t xml:space="preserve">INFER</w:t>
        </w:r>
      </w:hyperlink>
      <w:r w:rsidDel="00000000" w:rsidR="00000000" w:rsidRPr="00000000">
        <w:rPr>
          <w:rFonts w:ascii="Proxima Nova" w:cs="Proxima Nova" w:eastAsia="Proxima Nova" w:hAnsi="Proxima Nova"/>
          <w:rtl w:val="0"/>
        </w:rPr>
        <w:t xml:space="preserve">, short for INtegrated Forecasting and Estimates of Risk, is a forecasting program designed to generate valuable signals and early warning about the future of critical science and technology trends and events for U.S. Government policymakers. INFER empowers scientists, researchers, analysts, and hobbyists from inside and outside the U.S. Government to have a direct impact on policy and decision-making. The public portion of INFER is one of multiple forecasting sites operating as part of this program. INFER is run by the non-profit Applied Research Laboratory for Intelligence and Security (</w:t>
      </w:r>
      <w:hyperlink r:id="rId15">
        <w:r w:rsidDel="00000000" w:rsidR="00000000" w:rsidRPr="00000000">
          <w:rPr>
            <w:rFonts w:ascii="Proxima Nova" w:cs="Proxima Nova" w:eastAsia="Proxima Nova" w:hAnsi="Proxima Nova"/>
            <w:color w:val="3663b6"/>
            <w:rtl w:val="0"/>
          </w:rPr>
          <w:t xml:space="preserve">ARLIS</w:t>
        </w:r>
      </w:hyperlink>
      <w:r w:rsidDel="00000000" w:rsidR="00000000" w:rsidRPr="00000000">
        <w:rPr>
          <w:rFonts w:ascii="Proxima Nova" w:cs="Proxima Nova" w:eastAsia="Proxima Nova" w:hAnsi="Proxima Nova"/>
          <w:rtl w:val="0"/>
        </w:rPr>
        <w:t xml:space="preserve">) at the University of Maryland in partnership with Cultivate Labs. </w:t>
      </w:r>
    </w:p>
    <w:p w:rsidR="00000000" w:rsidDel="00000000" w:rsidP="00000000" w:rsidRDefault="00000000" w:rsidRPr="00000000" w14:paraId="00000022">
      <w:pPr>
        <w:spacing w:after="16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3">
      <w:pPr>
        <w:spacing w:after="160" w:lineRule="auto"/>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For questions about the project, email </w:t>
      </w:r>
      <w:hyperlink r:id="rId16">
        <w:r w:rsidDel="00000000" w:rsidR="00000000" w:rsidRPr="00000000">
          <w:rPr>
            <w:rFonts w:ascii="Proxima Nova" w:cs="Proxima Nova" w:eastAsia="Proxima Nova" w:hAnsi="Proxima Nova"/>
            <w:color w:val="1155cc"/>
            <w:u w:val="single"/>
            <w:rtl w:val="0"/>
          </w:rPr>
          <w:t xml:space="preserve">infer-public@cultivatelabs.com</w:t>
        </w:r>
      </w:hyperlink>
      <w:r w:rsidDel="00000000" w:rsidR="00000000" w:rsidRPr="00000000">
        <w:rPr>
          <w:rtl w:val="0"/>
        </w:rPr>
      </w:r>
    </w:p>
    <w:p w:rsidR="00000000" w:rsidDel="00000000" w:rsidP="00000000" w:rsidRDefault="00000000" w:rsidRPr="00000000" w14:paraId="00000024">
      <w:pPr>
        <w:spacing w:after="1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spacing w:after="160" w:lineRule="auto"/>
        <w:rPr>
          <w:rFonts w:ascii="Proxima Nova" w:cs="Proxima Nova" w:eastAsia="Proxima Nova" w:hAnsi="Proxima Nova"/>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133350</wp:posOffset>
            </wp:positionV>
            <wp:extent cx="2470897" cy="571500"/>
            <wp:effectExtent b="0" l="0" r="0" t="0"/>
            <wp:wrapNone/>
            <wp:docPr id="2"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2470897" cy="57150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4048125</wp:posOffset>
            </wp:positionH>
            <wp:positionV relativeFrom="paragraph">
              <wp:posOffset>209550</wp:posOffset>
            </wp:positionV>
            <wp:extent cx="2010007" cy="490538"/>
            <wp:effectExtent b="0" l="0" r="0" t="0"/>
            <wp:wrapNone/>
            <wp:docPr id="5"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2010007" cy="490538"/>
                    </a:xfrm>
                    <a:prstGeom prst="rect"/>
                    <a:ln/>
                  </pic:spPr>
                </pic:pic>
              </a:graphicData>
            </a:graphic>
          </wp:anchor>
        </w:drawing>
      </w:r>
    </w:p>
    <w:p w:rsidR="00000000" w:rsidDel="00000000" w:rsidP="00000000" w:rsidRDefault="00000000" w:rsidRPr="00000000" w14:paraId="00000026">
      <w:pPr>
        <w:spacing w:line="240" w:lineRule="auto"/>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spacing w:after="1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spacing w:after="1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spacing w:after="1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spacing w:after="1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B">
      <w:pPr>
        <w:spacing w:after="1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rPr>
          <w:rFonts w:ascii="Proxima Nova" w:cs="Proxima Nova" w:eastAsia="Proxima Nova" w:hAnsi="Proxima Nova"/>
        </w:rPr>
      </w:pPr>
      <w:r w:rsidDel="00000000" w:rsidR="00000000" w:rsidRPr="00000000">
        <w:rPr>
          <w:rtl w:val="0"/>
        </w:rPr>
      </w:r>
    </w:p>
    <w:sectPr>
      <w:headerReference r:id="rId19" w:type="default"/>
      <w:headerReference r:id="rId20" w:type="first"/>
      <w:footerReference r:id="rId21" w:type="default"/>
      <w:footerReference r:id="rId22" w:type="first"/>
      <w:pgSz w:h="20160" w:w="12240" w:orient="portrait"/>
      <w:pgMar w:bottom="1440" w:top="1890" w:left="1440" w:right="126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Zilla Slab">
    <w:embedRegular w:fontKey="{00000000-0000-0000-0000-000000000000}" r:id="rId5" w:subsetted="0"/>
    <w:embedBold w:fontKey="{00000000-0000-0000-0000-000000000000}" r:id="rId6" w:subsetted="0"/>
    <w:embedItalic w:fontKey="{00000000-0000-0000-0000-000000000000}" r:id="rId7" w:subsetted="0"/>
  </w:font>
  <w:font w:name="Zilla Slab Light">
    <w:embedBold w:fontKey="{00000000-0000-0000-0000-000000000000}" r:id="rId8" w:subsetted="0"/>
    <w:embedBoldItalic w:fontKey="{00000000-0000-0000-0000-000000000000}" r:id="rId9" w:subsetted="0"/>
  </w:font>
  <w:font w:name="Source Sans Pro">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spacing w:line="240" w:lineRule="auto"/>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This report is a summation of crowd-sourced predictions. It should not be viewed as an analytic product.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40" w:lineRule="auto"/>
      <w:rPr>
        <w:rFonts w:ascii="Zilla Slab Light" w:cs="Zilla Slab Light" w:eastAsia="Zilla Slab Light" w:hAnsi="Zilla Slab Light"/>
        <w:sz w:val="26"/>
        <w:szCs w:val="2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40" w:lineRule="auto"/>
      <w:rPr>
        <w:sz w:val="36"/>
        <w:szCs w:val="36"/>
      </w:rPr>
    </w:pPr>
    <w:r w:rsidDel="00000000" w:rsidR="00000000" w:rsidRPr="00000000">
      <w:rPr>
        <w:rFonts w:ascii="Proxima Nova" w:cs="Proxima Nova" w:eastAsia="Proxima Nova" w:hAnsi="Proxima Nova"/>
        <w:b w:val="1"/>
        <w:sz w:val="30"/>
        <w:szCs w:val="30"/>
        <w:rtl w:val="0"/>
      </w:rPr>
      <w:t xml:space="preserve">INFER Heads Up</w:t>
    </w:r>
    <w:r w:rsidDel="00000000" w:rsidR="00000000" w:rsidRPr="00000000">
      <w:rPr>
        <w:sz w:val="36"/>
        <w:szCs w:val="36"/>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19051</wp:posOffset>
          </wp:positionV>
          <wp:extent cx="1312445" cy="242888"/>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12445" cy="242888"/>
                  </a:xfrm>
                  <a:prstGeom prst="rect"/>
                  <a:ln/>
                </pic:spPr>
              </pic:pic>
            </a:graphicData>
          </a:graphic>
        </wp:anchor>
      </w:drawing>
    </w:r>
  </w:p>
  <w:p w:rsidR="00000000" w:rsidDel="00000000" w:rsidP="00000000" w:rsidRDefault="00000000" w:rsidRPr="00000000" w14:paraId="00000032">
    <w:pPr>
      <w:spacing w:line="240" w:lineRule="auto"/>
      <w:rPr>
        <w:rFonts w:ascii="Zilla Slab Light" w:cs="Zilla Slab Light" w:eastAsia="Zilla Slab Light" w:hAnsi="Zilla Slab Light"/>
        <w:sz w:val="28"/>
        <w:szCs w:val="28"/>
      </w:rPr>
    </w:pPr>
    <w:r w:rsidDel="00000000" w:rsidR="00000000" w:rsidRPr="00000000">
      <w:rPr>
        <w:rFonts w:ascii="Zilla Slab Light" w:cs="Zilla Slab Light" w:eastAsia="Zilla Slab Light" w:hAnsi="Zilla Slab Light"/>
        <w:sz w:val="28"/>
        <w:szCs w:val="28"/>
        <w:rtl w:val="0"/>
      </w:rPr>
      <w:t xml:space="preserve">TSMC Semiconductor Fab Plans</w:t>
    </w:r>
  </w:p>
  <w:p w:rsidR="00000000" w:rsidDel="00000000" w:rsidP="00000000" w:rsidRDefault="00000000" w:rsidRPr="00000000" w14:paraId="00000033">
    <w:pPr>
      <w:spacing w:line="240" w:lineRule="auto"/>
      <w:rPr>
        <w:rFonts w:ascii="Zilla Slab Light" w:cs="Zilla Slab Light" w:eastAsia="Zilla Slab Light" w:hAnsi="Zilla Slab Light"/>
        <w:sz w:val="28"/>
        <w:szCs w:val="28"/>
      </w:rPr>
    </w:pPr>
    <w:r w:rsidDel="00000000" w:rsidR="00000000" w:rsidRPr="00000000">
      <w:rPr>
        <w:rtl w:val="0"/>
      </w:rPr>
    </w:r>
  </w:p>
  <w:p w:rsidR="00000000" w:rsidDel="00000000" w:rsidP="00000000" w:rsidRDefault="00000000" w:rsidRPr="00000000" w14:paraId="00000034">
    <w:pPr>
      <w:rPr>
        <w:rFonts w:ascii="Proxima Nova" w:cs="Proxima Nova" w:eastAsia="Proxima Nova" w:hAnsi="Proxima Nov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rFonts w:ascii="Zilla Slab Light" w:cs="Zilla Slab Light" w:eastAsia="Zilla Slab Light" w:hAnsi="Zilla Slab Light"/>
      <w:sz w:val="40"/>
      <w:szCs w:val="40"/>
    </w:rPr>
  </w:style>
  <w:style w:type="paragraph" w:styleId="Heading2">
    <w:name w:val="heading 2"/>
    <w:basedOn w:val="Normal"/>
    <w:next w:val="Normal"/>
    <w:pPr>
      <w:keepNext w:val="1"/>
      <w:keepLines w:val="1"/>
      <w:spacing w:after="80" w:before="360" w:line="240" w:lineRule="auto"/>
      <w:jc w:val="both"/>
    </w:pPr>
    <w:rPr>
      <w:rFonts w:ascii="Zilla Slab Light" w:cs="Zilla Slab Light" w:eastAsia="Zilla Slab Light" w:hAnsi="Zilla Slab Light"/>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20" w:lineRule="auto"/>
    </w:pPr>
    <w:rPr>
      <w:b w:val="1"/>
      <w:sz w:val="40"/>
      <w:szCs w:val="40"/>
    </w:rPr>
  </w:style>
  <w:style w:type="paragraph" w:styleId="Subtitle">
    <w:name w:val="Subtitle"/>
    <w:basedOn w:val="Normal"/>
    <w:next w:val="Normal"/>
    <w:pPr>
      <w:keepNext w:val="1"/>
      <w:keepLines w:val="1"/>
    </w:pPr>
    <w:rPr>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infer-pub.com/memberships/295" TargetMode="External"/><Relationship Id="rId22" Type="http://schemas.openxmlformats.org/officeDocument/2006/relationships/footer" Target="footer1.xml"/><Relationship Id="rId10" Type="http://schemas.openxmlformats.org/officeDocument/2006/relationships/hyperlink" Target="https://www.infer-pub.com/memberships/2202" TargetMode="External"/><Relationship Id="rId21" Type="http://schemas.openxmlformats.org/officeDocument/2006/relationships/footer" Target="footer2.xml"/><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fer-pub.com/memberships/2207" TargetMode="External"/><Relationship Id="rId15" Type="http://schemas.openxmlformats.org/officeDocument/2006/relationships/hyperlink" Target="https://www.arlis.umd.edu/" TargetMode="External"/><Relationship Id="rId14" Type="http://schemas.openxmlformats.org/officeDocument/2006/relationships/hyperlink" Target="https://www.infer-pub.com/" TargetMode="External"/><Relationship Id="rId17" Type="http://schemas.openxmlformats.org/officeDocument/2006/relationships/image" Target="media/image3.png"/><Relationship Id="rId16" Type="http://schemas.openxmlformats.org/officeDocument/2006/relationships/hyperlink" Target="mailto:infer-public@cultivatelabs.com"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nationaldefensemagazine.org/articles/2021/3/24/just-in-taiwan-viewed-as-achilles-heel-of-us-microelectronics-supply-chain" TargetMode="External"/><Relationship Id="rId18" Type="http://schemas.openxmlformats.org/officeDocument/2006/relationships/image" Target="media/image4.png"/><Relationship Id="rId7" Type="http://schemas.openxmlformats.org/officeDocument/2006/relationships/hyperlink" Target="https://www.discoursemagazine.com/politics/2021/04/16/the-future-of-taiwan-semiconductors-alone-make-the-islands-continued-freedom-crucial-to-the-u-s/" TargetMode="External"/><Relationship Id="rId8" Type="http://schemas.openxmlformats.org/officeDocument/2006/relationships/hyperlink" Target="https://www.infer-pub.com/questions/969-by-dec-31-2022-will-the-taiwan-semiconductor-manufacturing-company-announce-plans-to-build-a-semiconductor-fab-in-europe/crowd_forecast"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SourceSansPro-bold.ttf"/><Relationship Id="rId10" Type="http://schemas.openxmlformats.org/officeDocument/2006/relationships/font" Target="fonts/SourceSansPro-regular.ttf"/><Relationship Id="rId13" Type="http://schemas.openxmlformats.org/officeDocument/2006/relationships/font" Target="fonts/SourceSansPro-boldItalic.ttf"/><Relationship Id="rId12" Type="http://schemas.openxmlformats.org/officeDocument/2006/relationships/font" Target="fonts/SourceSansPro-italic.ttf"/><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9" Type="http://schemas.openxmlformats.org/officeDocument/2006/relationships/font" Target="fonts/ZillaSlabLight-boldItalic.ttf"/><Relationship Id="rId5" Type="http://schemas.openxmlformats.org/officeDocument/2006/relationships/font" Target="fonts/ZillaSlab-regular.ttf"/><Relationship Id="rId6" Type="http://schemas.openxmlformats.org/officeDocument/2006/relationships/font" Target="fonts/ZillaSlab-bold.ttf"/><Relationship Id="rId7" Type="http://schemas.openxmlformats.org/officeDocument/2006/relationships/font" Target="fonts/ZillaSlab-italic.ttf"/><Relationship Id="rId8" Type="http://schemas.openxmlformats.org/officeDocument/2006/relationships/font" Target="fonts/ZillaSlabLight-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